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Policy Summary &amp; Coverage Review 2026</w:t>
      </w:r>
    </w:p>
    <w:p>
      <w:r>
        <w:rPr>
          <w:b/>
        </w:rPr>
        <w:t xml:space="preserve">Policyholder: Ironclad Industries</w:t>
      </w:r>
    </w:p>
    <w:p>
      <w:r>
        <w:t xml:space="preserve">This document summarizes the active insurance program for the 2026 policy year. It is a test document uploaded to verify the in-app DOCX viewer (#318) renders headings, paragraphs, and tables correctly under staging's strict CSP with no external requests.</w:t>
      </w:r>
    </w:p>
    <w:p>
      <w:pPr>
        <w:pStyle w:val="Heading1"/>
      </w:pPr>
      <w:r>
        <w:t xml:space="preserve">1. Coverage Schedule</w:t>
      </w:r>
    </w:p>
    <w:p>
      <w:r>
        <w:t xml:space="preserve">The following coverage lines are bound for the current policy period: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tcPr>
            <w:tcW w:w="3000" w:type="dxa"/>
          </w:tcPr>
          <w:p>
            <w:r>
              <w:t xml:space="preserve">Coverage Line</w:t>
            </w:r>
          </w:p>
        </w:tc>
        <w:tc>
          <w:tcPr>
            <w:tcW w:w="3000" w:type="dxa"/>
          </w:tcPr>
          <w:p>
            <w:r>
              <w:t xml:space="preserve">Limit</w:t>
            </w:r>
          </w:p>
        </w:tc>
        <w:tc>
          <w:tcPr>
            <w:tcW w:w="3000" w:type="dxa"/>
          </w:tcPr>
          <w:p>
            <w:r>
              <w:t xml:space="preserve">Premium</w:t>
            </w:r>
          </w:p>
        </w:tc>
      </w:tr>
      <w:tr>
        <w:tc>
          <w:tcPr>
            <w:tcW w:w="3000" w:type="dxa"/>
          </w:tcPr>
          <w:p>
            <w:r>
              <w:t xml:space="preserve">General Liability</w:t>
            </w:r>
          </w:p>
        </w:tc>
        <w:tc>
          <w:tcPr>
            <w:tcW w:w="3000" w:type="dxa"/>
          </w:tcPr>
          <w:p>
            <w:r>
              <w:t xml:space="preserve">$2,000,000</w:t>
            </w:r>
          </w:p>
        </w:tc>
        <w:tc>
          <w:tcPr>
            <w:tcW w:w="3000" w:type="dxa"/>
          </w:tcPr>
          <w:p>
            <w:r>
              <w:t xml:space="preserve">$48,500</w:t>
            </w:r>
          </w:p>
        </w:tc>
      </w:tr>
      <w:tr>
        <w:tc>
          <w:tcPr>
            <w:tcW w:w="3000" w:type="dxa"/>
          </w:tcPr>
          <w:p>
            <w:r>
              <w:t xml:space="preserve">Property</w:t>
            </w:r>
          </w:p>
        </w:tc>
        <w:tc>
          <w:tcPr>
            <w:tcW w:w="3000" w:type="dxa"/>
          </w:tcPr>
          <w:p>
            <w:r>
              <w:t xml:space="preserve">$10,000,000</w:t>
            </w:r>
          </w:p>
        </w:tc>
        <w:tc>
          <w:tcPr>
            <w:tcW w:w="3000" w:type="dxa"/>
          </w:tcPr>
          <w:p>
            <w:r>
              <w:t xml:space="preserve">$92,300</w:t>
            </w:r>
          </w:p>
        </w:tc>
      </w:tr>
      <w:tr>
        <w:tc>
          <w:tcPr>
            <w:tcW w:w="3000" w:type="dxa"/>
          </w:tcPr>
          <w:p>
            <w:r>
              <w:t xml:space="preserve">Cyber</w:t>
            </w:r>
          </w:p>
        </w:tc>
        <w:tc>
          <w:tcPr>
            <w:tcW w:w="3000" w:type="dxa"/>
          </w:tcPr>
          <w:p>
            <w:r>
              <w:t xml:space="preserve">$5,000,000</w:t>
            </w:r>
          </w:p>
        </w:tc>
        <w:tc>
          <w:tcPr>
            <w:tcW w:w="3000" w:type="dxa"/>
          </w:tcPr>
          <w:p>
            <w:r>
              <w:t xml:space="preserve">$31,750</w:t>
            </w:r>
          </w:p>
        </w:tc>
      </w:tr>
    </w:tbl>
    <w:p>
      <w:pPr>
        <w:pStyle w:val="Heading1"/>
      </w:pPr>
      <w:r>
        <w:t xml:space="preserve">2. Renewal Notes</w:t>
      </w:r>
    </w:p>
    <w:p>
      <w:r>
        <w:t xml:space="preserve">All lines renew on 2026-12-31. The renewal workflow tracks each line on a 90-day advance schedule. Total annual premium across the program is $172,550.</w:t>
      </w:r>
    </w:p>
    <w:p>
      <w:pPr>
        <w:pStyle w:val="Heading1"/>
      </w:pPr>
      <w:r>
        <w:t xml:space="preserve">3. Contacts</w:t>
      </w:r>
    </w:p>
    <w:p>
      <w:r>
        <w:t xml:space="preserve">Risk Manager: J. Carter. Broker: Marsh. Primary carrier: Acme Mutual.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pPr>
      <w:spacing w:after="240"/>
    </w:pPr>
    <w:rPr>
      <w:b/>
      <w:sz w:val="44"/>
    </w:rPr>
  </w:style>
  <w:style w:type="paragraph" w:styleId="Heading1">
    <w:name w:val="heading 1"/>
    <w:pPr>
      <w:spacing w:before="240" w:after="120"/>
    </w:pPr>
    <w:rPr>
      <w:b/>
      <w:sz w:val="3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